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7FE" w:rsidRDefault="00B70A14" w:rsidP="006B17FE">
      <w:pPr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Zał. nr 9</w:t>
      </w:r>
      <w:r w:rsidR="006B17FE">
        <w:rPr>
          <w:rFonts w:ascii="Century Gothic" w:hAnsi="Century Gothic"/>
          <w:sz w:val="20"/>
          <w:szCs w:val="20"/>
        </w:rPr>
        <w:t xml:space="preserve"> do SWZ</w:t>
      </w:r>
    </w:p>
    <w:p w:rsidR="006B17FE" w:rsidRPr="006B17FE" w:rsidRDefault="00BB7DC8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Parametry techniczne urządzeń</w:t>
      </w:r>
      <w:r w:rsidR="00D21ACF">
        <w:rPr>
          <w:rFonts w:ascii="Century Gothic" w:hAnsi="Century Gothic"/>
          <w:sz w:val="20"/>
          <w:szCs w:val="20"/>
        </w:rPr>
        <w:t xml:space="preserve"> klimatyzacyjnych </w:t>
      </w:r>
      <w:bookmarkStart w:id="0" w:name="_GoBack"/>
      <w:bookmarkEnd w:id="0"/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Zamawiający podtrzymuje wymóg wysokiej jakości urządzeń, jednak w celu zapewnienia uczciwej konkurencji (zgodnie z art. 99 ust. 4 PZP), dopuszcza oferowanie urządzeń równoważnych. Za urządzenie równoważne Zamawiający uzna takie, które spełnia funkcję użytkową określoną w projekcie oraz posiada parametry techniczne nie gorsze niż wskazane w dokumentacji, z uwzględnieniem poniższych tolerancji:</w:t>
      </w:r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1. Wydajność chłodnicza i grzewcza (nominalna):</w:t>
      </w:r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Zamawiający dopuszcza urządzenia o wydajności nominalnej nie mniejszej niż wskazana w projekcie. Dopuszcza się przewymiarowanie wydajności jednostek do +10% względem projektu, pod warunkiem zachowania spójności z wydajnością agregatu zewnętrznego i bilansem mocy przyłączeniowej.</w:t>
      </w:r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2. Efektywność energetyczna (SEER / SCOP):</w:t>
      </w:r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Parametry SEER i SCOP muszą być równe lub wyższe od wskazanych w projekcie/przedmiarze. Nie dopuszcza się wartości niższych (wymóg energooszczędności).</w:t>
      </w:r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3. Gabaryty jednostek:</w:t>
      </w:r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Wymiary jednostek wewnętrznych wskazane w projekcie należy traktować jako wartości maksymalne. Zamawiający dopuszcza jednostki o innych wymiarach, o ile zmieszczą się w projektowanych przestrzeniach montażowych bez konieczności przeróbek konstrukcyjnych lub architektonicznych.</w:t>
      </w:r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4. Poziom ciśnienia akustycznego:</w:t>
      </w:r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Poziom hałasu jednostek wewnętrznych i zewnętrznych musi być równy lub niższy od założonego w projekcie. Jest to parametr krytyczny ze względu na komfort pracy w urzędzie oraz normy hałasu środowiskowego.</w:t>
      </w:r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5. System sterowania:</w:t>
      </w:r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Urządzenia równoważne muszą posiadać pełną kompatybilność z projektowanym systemem sterowania. Protokół komunikacyjny musi umożliwiać realizację wszystkich funkcji opisanych w projekcie.</w:t>
      </w:r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6. Zakres temperatur pracy:</w:t>
      </w:r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Urządzenia muszą pracować w zakresach temperatur zewnętrznych (chłodzenie/grzanie) nie węższych niż określone w dokumentacji technicznej.</w:t>
      </w:r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Podsumowanie:</w:t>
      </w:r>
    </w:p>
    <w:p w:rsidR="006B17FE" w:rsidRDefault="006B17FE" w:rsidP="006B17FE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Wykonawca oferujący urządzenia równoważne jest zobowiązany dołączyć do oferty tabelę porównawczą (zestawienie parametrów urządzenia projektowanego i oferowanego) oraz karty katalogowe potwierdzające powyższe parametry.</w:t>
      </w:r>
    </w:p>
    <w:p w:rsidR="00B547AC" w:rsidRPr="006B17FE" w:rsidRDefault="00B547AC" w:rsidP="006B17FE"/>
    <w:sectPr w:rsidR="00B547AC" w:rsidRPr="006B1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461063"/>
    <w:multiLevelType w:val="multilevel"/>
    <w:tmpl w:val="9C0018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CD4"/>
    <w:rsid w:val="00241CA9"/>
    <w:rsid w:val="006B17FE"/>
    <w:rsid w:val="00AD7714"/>
    <w:rsid w:val="00B25CD4"/>
    <w:rsid w:val="00B547AC"/>
    <w:rsid w:val="00B70A14"/>
    <w:rsid w:val="00BB7DC8"/>
    <w:rsid w:val="00D2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CA7686-8C5D-41C9-96C2-3917FD7DF4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B17FE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B17FE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27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304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8</cp:revision>
  <cp:lastPrinted>2026-03-18T10:42:00Z</cp:lastPrinted>
  <dcterms:created xsi:type="dcterms:W3CDTF">2026-03-12T09:04:00Z</dcterms:created>
  <dcterms:modified xsi:type="dcterms:W3CDTF">2026-04-16T11:51:00Z</dcterms:modified>
</cp:coreProperties>
</file>